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italiano - nivel I</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before="160" w:line="360" w:lineRule="auto"/>
        <w:ind w:left="140" w:right="100" w:hanging="20"/>
        <w:jc w:val="both"/>
        <w:rPr>
          <w:rFonts w:ascii="Arial" w:cs="Arial" w:eastAsia="Arial" w:hAnsi="Arial"/>
          <w:b w:val="0"/>
          <w:sz w:val="22"/>
          <w:szCs w:val="22"/>
        </w:rPr>
      </w:pPr>
      <w:bookmarkStart w:colFirst="0" w:colLast="0" w:name="_9ct4nkcl9hb3" w:id="0"/>
      <w:bookmarkEnd w:id="0"/>
      <w:r w:rsidDel="00000000" w:rsidR="00000000" w:rsidRPr="00000000">
        <w:rPr>
          <w:rFonts w:ascii="Arial" w:cs="Arial" w:eastAsia="Arial" w:hAnsi="Arial"/>
          <w:b w:val="0"/>
          <w:sz w:val="22"/>
          <w:szCs w:val="22"/>
          <w:rtl w:val="0"/>
        </w:rPr>
        <w:t xml:space="preserve">Nuestro país tiene una gran historia y muchos vínculos con Italia. La cultura italiana está muy presente en la provincia de Buenos Aires por lo que capacitar a las/los alumnos para enriquecer su cultura personal y así fortalecer los vínculos con dicha comunidad en diversas áreas. Aún hoy en día, se registra una masiva presencia italiana y un intenso intercambio cultural con Italia y con sus instituciones de altos estudios.</w:t>
      </w:r>
    </w:p>
    <w:p w:rsidR="00000000" w:rsidDel="00000000" w:rsidP="00000000" w:rsidRDefault="00000000" w:rsidRPr="00000000" w14:paraId="00000005">
      <w:pPr>
        <w:pStyle w:val="Heading1"/>
        <w:spacing w:before="1" w:line="360" w:lineRule="auto"/>
        <w:ind w:firstLine="143"/>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Existen, además, vínculos de cooperación entre Argentina e Italia, estados histórica y estrechamente vinculados por lazos de sangre y culturales que, como naciones se han comprometido ambas para mantener la paz en el marco de las Naciones Unidas, fortalecer la cooperación en la lucha contra el narcotráfico, reducir la demanda, como la prevención del abuso de drogas y los crímenes conexos, conocer las respectivas experiencias de integración regional.</w:t>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8">
      <w:pPr>
        <w:spacing w:before="0" w:line="36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before="0" w:line="360" w:lineRule="auto"/>
        <w:ind w:left="0" w:right="0" w:firstLine="0"/>
        <w:jc w:val="left"/>
        <w:rPr>
          <w:rFonts w:ascii="Arial" w:cs="Arial" w:eastAsia="Arial" w:hAnsi="Arial"/>
          <w:b w:val="1"/>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Se asignará un cupo de 5 cursantes para personal perteneciente a otras fuerzas de seguridad dentro del territorio argentino, este último en concordancia con la oferta académica que ofrece el Centro de Altos Estudios en Especialidades Policiales</w:t>
      </w: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5 cursantes.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